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39.png" ContentType="image/png"/>
  <Override PartName="/word/media/rId43.png" ContentType="image/png"/>
  <Override PartName="/word/media/rId45.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behaviour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behavioural variation can exert important consequences for predator-prey interactions</w:t>
      </w:r>
      <w:r>
        <w:t xml:space="preserve"> </w:t>
      </w:r>
      <w:r>
        <w:t xml:space="preserve">(Pettorelli et al. 2015; Toscano et al. 2016; Schmitz 2017)</w:t>
      </w:r>
      <w:r>
        <w:t xml:space="preserve">. For instance, individual predator behavioural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behaviour of their prey</w:t>
      </w:r>
      <w:r>
        <w:t xml:space="preserve"> </w:t>
      </w:r>
      <w:r>
        <w:t xml:space="preserve">(Araújo et al. 2011; Carneiro et al. 2017; Phillips et al. 2017; Courbin et al. 2018)</w:t>
      </w:r>
      <w:r>
        <w:t xml:space="preserve">. In sea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behavioural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behavioural adjustments by individual predators</w:t>
      </w:r>
      <w:r>
        <w:t xml:space="preserve"> </w:t>
      </w:r>
      <w:r>
        <w:t xml:space="preserve">(Helfman 1990; Heithaus et al. 2018)</w:t>
      </w:r>
      <w:r>
        <w:t xml:space="preserve">. For instance, predators can respond to changes in prey density</w:t>
      </w:r>
      <w:r>
        <w:t xml:space="preserve"> </w:t>
      </w:r>
      <w:r>
        <w:t xml:space="preserve">(Inoue and Marsura 1983)</w:t>
      </w:r>
      <w:r>
        <w:t xml:space="preserve">, prey behavioural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most of this research is conducted under controlled laboratory conditions, which can fail to capture the nuances and complexities of a predator specie’s behaviour in the wild</w:t>
      </w:r>
      <w:r>
        <w:t xml:space="preserve"> </w:t>
      </w:r>
      <w:r>
        <w:t xml:space="preserve">(Carter et al. 2013; Niemelä and Dingemanse 2014)</w:t>
      </w:r>
      <w:r>
        <w:t xml:space="preserve">. Empirically investigating individual variation in hunting mode requires repeated measures of behaviour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behaviour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permit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The predator’s main objective is to search for and consume prey (figure 1A), whilst the preys’ objective is to exploit resources while escaping the predator. Prey can use a wide range of behaviours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 an extensive and complete dataset on the hunting behaviour of predator players in</w:t>
      </w:r>
      <w:r>
        <w:t xml:space="preserve"> </w:t>
      </w:r>
      <w:r>
        <w:rPr>
          <w:i/>
        </w:rPr>
        <w:t xml:space="preserve">DBD</w:t>
      </w:r>
      <w:r>
        <w:t xml:space="preserve"> </w:t>
      </w:r>
      <w:r>
        <w:t xml:space="preserve">to investigate environmental and individual variation in hunting mode, and how hunting mode affects prey capture. We use four hunting-related behaviours as proxies of hunting mode: travel speed, the rate of space covered in the environment, the proportion of time spent in an ambush position, and the time elapsed before the first prey capture. We use multivariate mixed-modelling to quantify variation in multiple behaviours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among-environment differences in average hunting behaviour, variation in tactic use arising when some individuals use one tactic more often than others (i.e. individual specialization), and variation arising from individuals adjusting tactic use over time in response to temporal changes in environmental conditions or prey behaviour (i.e. individual flexibility). First, we hypothesize that predators use hunting tactics according to habitat-specific characteristics. Therefore, we expect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specialising as cursorial hunters, and others as ambush hunters. Thus, we predict that individual predators should differ in their average trait values along a continuum for all combinations of the four hunting traits (among-individual behavioural correlations). Following the locomotor-crossover hypothesis</w:t>
      </w:r>
      <w:r>
        <w:t xml:space="preserve">(Huey and Pianka 1981)</w:t>
      </w:r>
      <w:r>
        <w:t xml:space="preserve">, we predict that ambush and cursorial predator-types will coexist in the population, because both achieve similar hunting success by performing better against prey with the opposite locomotor tendency. Lastly, we hypothesize that individual predators will express flexible hunting behaviour, by switching from cursorial to ambush tactics between foraging bouts (i.e. between matches). Thus, we predict that the individuals’ residual trait values in contrasting hunting behaviours (ambush vs cursorial) should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study-system"/>
      <w:r>
        <w:t xml:space="preserve">Study system</w:t>
      </w:r>
      <w:bookmarkEnd w:id="27"/>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data-collection"/>
      <w:r>
        <w:t xml:space="preserve">Data collection</w:t>
      </w:r>
      <w:bookmarkEnd w:id="30"/>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behavioural-traits"/>
      <w:r>
        <w:t xml:space="preserve">Behavioural traits</w:t>
      </w:r>
      <w:bookmarkEnd w:id="31"/>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(m/s), the rate of space covered (square/s), the proportion of time spent in an ambush position over the match duration, and the proportion of time predators took to capture their first prey over the match duration. Travel speed and the rate of space covered differ in that speed describes the average distance traveled in meters per second, while space coverage desribes the number of 16x16 meters squares (from a grid that covers the whole virtual environment) entered per second in the environment</w:t>
      </w:r>
      <w:r>
        <w:t xml:space="preserve"> </w:t>
      </w:r>
      <w:r>
        <w:t xml:space="preserve">(similar to the open field test, Montiglio et al. 2010)</w:t>
      </w:r>
      <w:r>
        <w:t xml:space="preserve">. The proportion of time spent ambushing describes the total amount of time a predator spent monitoring around capture sites to ambush prey that try to rescue a conspecific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BodyText"/>
      </w:pPr>
      <w:r>
        <w:t xml:space="preserve">We quantified prey average travel speed (m/s) and rate of space covered (square/s).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2" w:name="Xe60531096df97f3d9a157c5da5c4ba9c26f48eb"/>
      <w:r>
        <w:t xml:space="preserve">Statistical analyses : Software and computer setup</w:t>
      </w:r>
      <w:bookmarkEnd w:id="32"/>
    </w:p>
    <w:p>
      <w:pPr>
        <w:pStyle w:val="FirstParagraph"/>
      </w:pPr>
      <w:r>
        <w:t xml:space="preserve">We performed all statistical analyses using the R software (version 4.0.2, R Core Team, 2020) on a remote computer cluster (Cedar, Compute Canada,</w:t>
      </w:r>
      <w:r>
        <w:t xml:space="preserve"> </w:t>
      </w:r>
      <w:hyperlink r:id="rId33">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4">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5" w:name="X7c457e630352d258e9c32b29690cbe6a9c45d2a"/>
      <w:r>
        <w:t xml:space="preserve">Statistical analyses: Variation in hunting mode</w:t>
      </w:r>
      <w:bookmarkEnd w:id="35"/>
    </w:p>
    <w:p>
      <w:pPr>
        <w:pStyle w:val="FirstParagraph"/>
      </w:pPr>
      <w:r>
        <w:t xml:space="preserve">We first parametrized a multivariate Bayesian mixed model to quantify unadjusted repeatability of hunting behaviour, and evaluate among-environment, among-individual (specialization), and within-individual (flexibility) behavioural correlations. We included the predator’s population-response to prey behaviour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r>
              <m:t>j</m:t>
            </m:r>
          </m:sub>
        </m:sSub>
      </m:oMath>
      <w:r>
        <w:t xml:space="preserve">) are, respectively, random intercepts (among- individual, environment, and avatar variance) and residuals (within-individual variance). Random intercepts (BLUPs) and residuals were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(equations S1-S4 in Supporting information). For each combination of behaviours, we extracted the behavioural correlations among- individuals, environments, and avatars, as well as within-individual (residual) behavioural correlations</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credible intervals for each repeatability estimate using the highest posterior density intervals.</w:t>
      </w:r>
    </w:p>
    <w:p>
      <w:pPr>
        <w:pStyle w:val="Heading2"/>
      </w:pPr>
      <w:bookmarkStart w:id="36" w:name="X780a5b8cdd248d655541fc9697c15b9460e9a81"/>
      <w:r>
        <w:t xml:space="preserve">Statistical analyses: Effect of hunting behaviour and prey behaviour on prey capture</w:t>
      </w:r>
      <w:bookmarkEnd w:id="36"/>
    </w:p>
    <w:p>
      <w:pPr>
        <w:pStyle w:val="FirstParagraph"/>
      </w:pPr>
      <w:r>
        <w:t xml:space="preserve">Since predators can capture a maximum of four prey, we used the number of prey captured per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t>
      </w:r>
      <m:oMath>
        <m:sSub>
          <m:e>
            <m:r>
              <m:t>β</m:t>
            </m:r>
          </m:e>
          <m:sub>
            <m:r>
              <m:t>n</m:t>
            </m:r>
            <m:r>
              <m:t>,</m:t>
            </m:r>
            <m:r>
              <m:t>p</m:t>
            </m:r>
            <m:r>
              <m:t>r</m:t>
            </m:r>
            <m:r>
              <m:t>e</m:t>
            </m:r>
            <m:r>
              <m:t>d</m:t>
            </m:r>
          </m:sub>
        </m:sSub>
        <m:sSub>
          <m:e>
            <m:r>
              <m:rPr>
                <m:nor/>
                <m:sty m:val="p"/>
              </m:rPr>
              <m:t>x</m:t>
            </m:r>
          </m:e>
          <m:sub>
            <m:r>
              <m:t>i</m:t>
            </m:r>
          </m:sub>
        </m:sSub>
      </m:oMath>
      <w:r>
        <w:t xml:space="preserve">)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Supporting information). We computed a second model to account for variation in hunting success explained by prey behaviour (</w:t>
      </w:r>
      <m:oMath>
        <m:sSub>
          <m:e>
            <m:r>
              <m:t>β</m:t>
            </m:r>
          </m:e>
          <m:sub>
            <m:r>
              <m:t>n</m:t>
            </m:r>
            <m:r>
              <m:t>,</m:t>
            </m:r>
            <m:r>
              <m:t>p</m:t>
            </m:r>
            <m:r>
              <m:t>r</m:t>
            </m:r>
            <m:r>
              <m:t>e</m:t>
            </m:r>
            <m:r>
              <m:t>y</m:t>
            </m:r>
          </m:sub>
        </m:sSub>
        <m:sSubSup>
          <m:e>
            <m:r>
              <m:rPr>
                <m:nor/>
                <m:sty m:val="p"/>
              </m:rPr>
              <m:t>x</m:t>
            </m:r>
          </m:e>
          <m:sub>
            <m:r>
              <m:t>i</m:t>
            </m:r>
          </m:sub>
          <m:sup>
            <m:r>
              <m:t>′</m:t>
            </m:r>
          </m:sup>
        </m:sSubSup>
      </m:oMath>
      <w:r>
        <w:t xml:space="preserve">). We thus added prey travel speed and their rate of space covered in the model equation (equation S6 in Supporting information).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the environments where matches occurred. Player ID and the game environment were assumed to follow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standardised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p"/>
              </m:rPr>
              <m:t>x</m:t>
            </m:r>
          </m:e>
          <m:sub>
            <m:r>
              <m:t>i</m:t>
            </m:r>
          </m:sub>
        </m:sSub>
      </m:oMath>
      <w:r>
        <w:t xml:space="preserve">) to determine whether the relationships between hunting success and predator behaviour are concave or convex (equation S7 in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samme structure as the third and included quadratic terms for prey behaviour (</w:t>
      </w:r>
      <m:oMath>
        <m:f>
          <m:fPr>
            <m:type m:val="bar"/>
          </m:fPr>
          <m:num>
            <m:r>
              <m:t>1</m:t>
            </m:r>
          </m:num>
          <m:den>
            <m:r>
              <m:t>2</m:t>
            </m:r>
          </m:den>
        </m:f>
        <m:sSub>
          <m:e>
            <m:r>
              <m:t>γ</m:t>
            </m:r>
          </m:e>
          <m:sub>
            <m:r>
              <m:t>n</m:t>
            </m:r>
            <m:r>
              <m:t>,</m:t>
            </m:r>
            <m:r>
              <m:t>p</m:t>
            </m:r>
            <m:r>
              <m:t>r</m:t>
            </m:r>
            <m:r>
              <m:t>e</m:t>
            </m:r>
            <m:r>
              <m:t>y</m:t>
            </m:r>
          </m:sub>
        </m:sSub>
        <m:sSubSup>
          <m:e>
            <m:r>
              <m:rPr>
                <m:nor/>
                <m:sty m:val="p"/>
              </m:rPr>
              <m:t>x</m:t>
            </m:r>
          </m:e>
          <m:sub>
            <m:r>
              <m:t>i</m:t>
            </m:r>
          </m:sub>
          <m:sup>
            <m:r>
              <m:t>′</m:t>
            </m:r>
          </m:sup>
        </m:sSubSup>
      </m:oMath>
      <w:r>
        <w:t xml:space="preserve">), and interaction terms between predator and prey behaviours (</w:t>
      </w:r>
      <m:oMath>
        <m:sSub>
          <m:e>
            <m:r>
              <m:t>γ</m:t>
            </m:r>
          </m:e>
          <m:sub>
            <m:r>
              <m:t>n</m:t>
            </m:r>
            <m:r>
              <m:t>,</m:t>
            </m:r>
            <m:r>
              <m:rPr>
                <m:nor/>
                <m:sty m:val="p"/>
              </m:rPr>
              <m:t>pred prey</m:t>
            </m:r>
          </m:sub>
        </m:sSub>
      </m:oMath>
      <w:r>
        <w:t xml:space="preserve">) to test if predators perform better against prey with the opposite locomotor tendency (locomotor crossover) (equation S8 in Supporting information). All trait values were standardised to mean of 0 and unit variance (z-scores). The sample size of each parameter’s posterior distribution is 4000 for both models.</w:t>
      </w:r>
    </w:p>
    <w:p>
      <w:pPr>
        <w:pStyle w:val="BodyText"/>
      </w:pPr>
      <w:r>
        <w:t xml:space="preserve">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credible intervals did not overlap zero</w:t>
      </w:r>
      <w:r>
        <w:t xml:space="preserve"> </w:t>
      </w:r>
      <w:r>
        <w:t xml:space="preserve">(Nakagawa and Cuthill 2007)</w:t>
      </w:r>
      <w:r>
        <w:t xml:space="preserve">.</w:t>
      </w:r>
    </w:p>
    <w:p>
      <w:pPr>
        <w:pStyle w:val="Heading1"/>
      </w:pPr>
      <w:bookmarkStart w:id="37" w:name="results"/>
      <w:r>
        <w:t xml:space="preserve">Results</w:t>
      </w:r>
      <w:bookmarkEnd w:id="37"/>
    </w:p>
    <w:p>
      <w:pPr>
        <w:pStyle w:val="Heading2"/>
      </w:pPr>
      <w:bookmarkStart w:id="38" w:name="X855c4530f73c707f307b2b0ad5f10cc17b2fa40"/>
      <w:r>
        <w:t xml:space="preserve">Variation in hunting mode: Repeatability of hunting behaviour</w:t>
      </w:r>
      <w:bookmarkEnd w:id="38"/>
    </w:p>
    <w:p>
      <w:pPr>
        <w:pStyle w:val="FirstParagraph"/>
      </w:pPr>
      <w:r>
        <w:t xml:space="preserve">As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(figure 2A, diagonal). Individual predators differed weakly in their average rate of space covered (</w:t>
      </w:r>
      <m:oMath>
        <m:r>
          <m:t>I</m:t>
        </m:r>
        <m:r>
          <m:t>C</m:t>
        </m:r>
        <m:sSub>
          <m:e>
            <m:r>
              <m:t>C</m:t>
            </m:r>
          </m:e>
          <m:sub>
            <m:r>
              <m:t>i</m:t>
            </m:r>
            <m:r>
              <m:t>d</m:t>
            </m:r>
          </m:sub>
        </m:sSub>
      </m:oMath>
      <w:r>
        <w:t xml:space="preserve">, space covered [95% CI] = 0.051 [0.044, 0.057]) (figure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(figure 2B, diagonal).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(figure 2B, diagonal). Finally, predators displayed weak among-avatar differences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w:t>
      </w:r>
    </w:p>
    <w:p>
      <w:pPr>
        <w:pStyle w:val="CaptionedFigure"/>
      </w:pPr>
      <w:r>
        <w:drawing>
          <wp:inline>
            <wp:extent cx="5969000" cy="2929295"/>
            <wp:effectExtent b="0" l="0" r="0" t="0"/>
            <wp:docPr descr="Correlations between combinations of hunting behaviours and their ICCs. For each panel, the ICC of the trait is displayed on the diagonal. Black and gray circles are negative and positive correlations respectively. (A) Among-individual behavioural correlations on the lower off-diagonal, and residual within-individual behavioural correlations on the upper off-diagonal. (B) Among-environment behavioural correlations on the lower off-diagonal. Behaviou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9"/>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t xml:space="preserve">Correlations between combinations of hunting behaviours and their ICCs. For each panel, the ICC of the trait is displayed on the diagonal. Black and gray circles are negative and positive correlations respectively. (A) Among-individual behavioural correlations on the lower off-diagonal, and residual within-individual behavioural correlations on the upper off-diagonal. (B) Among-environment behavioural correlations on the lower off-diagonal. Behaviour names were shortened to simplify the plot.</w:t>
      </w:r>
    </w:p>
    <w:p>
      <w:pPr>
        <w:pStyle w:val="Heading2"/>
      </w:pPr>
      <w:bookmarkStart w:id="40" w:name="Xe9bceb0fc8d1f5363c0ebeeae68eb3b2eca5ad9"/>
      <w:r>
        <w:t xml:space="preserve">Variation in hunting mode: Correlations between hunting behaviours</w:t>
      </w:r>
      <w:bookmarkEnd w:id="40"/>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2A, lower off-diagonal).</w:t>
      </w:r>
    </w:p>
    <w:p>
      <w:pPr>
        <w:pStyle w:val="BodyText"/>
      </w:pPr>
      <w:r>
        <w:t xml:space="preserve">At the residual within-individual level, we detected a weak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(figure 2A,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large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Environments where predators were on average faster were also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2B, lower off-diagonal). We detected a similar relationship between space coverage and time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2B, lower off-diagonal).</w:t>
      </w:r>
    </w:p>
    <w:p>
      <w:pPr>
        <w:pStyle w:val="Heading2"/>
      </w:pPr>
      <w:bookmarkStart w:id="41" w:name="X238a038abc68e82e5d2b84722cf6942a19a6ba5"/>
      <w:r>
        <w:t xml:space="preserve">Effect of predator and prey behaviour on hunting success: Linear relationships</w:t>
      </w:r>
      <w:bookmarkEnd w:id="41"/>
    </w:p>
    <w:p>
      <w:pPr>
        <w:pStyle w:val="FirstParagraph"/>
      </w:pPr>
      <w:r>
        <w:t xml:space="preserve">Predator behaviour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r>
              <m:t>0</m:t>
            </m:r>
          </m:sub>
        </m:sSub>
      </m:oMath>
      <w:r>
        <w:t xml:space="preserve"> </w:t>
      </w:r>
      <w:r>
        <w:t xml:space="preserve">[95% CI] = 0.005 [0.002, 0.008]). Differences among individuals in hunting success were low (</w:t>
      </w:r>
      <m:oMath>
        <m:r>
          <m:t>I</m:t>
        </m:r>
        <m:r>
          <m:t>C</m:t>
        </m:r>
        <m:sSub>
          <m:e>
            <m:r>
              <m:t>C</m:t>
            </m:r>
          </m:e>
          <m:sub>
            <m:r>
              <m:t>i</m:t>
            </m:r>
            <m:r>
              <m:t>d</m:t>
            </m:r>
            <m:r>
              <m:t>0</m:t>
            </m:r>
          </m:sub>
        </m:sSub>
      </m:oMath>
      <w:r>
        <w:t xml:space="preserve"> </w:t>
      </w:r>
      <w:r>
        <w:t xml:space="preserve">[95% CI] = 0.067 [0.060, 0.074]).</w:t>
      </w:r>
    </w:p>
    <w:p>
      <w:pPr>
        <w:pStyle w:val="BodyText"/>
      </w:pPr>
      <w:r>
        <w:t xml:space="preserve">Adding prey behaviour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r>
        <w:br w:type="page"/>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949"/>
        <w:gridCol w:w="2244"/>
        <w:gridCol w:w="2244"/>
        <w:gridCol w:w="2493"/>
        <w:gridCol w:w="2915"/>
      </w:tblGrid>
      <w:tr>
        <w:trPr>
          <w:cantSplit/>
          <w:trHeight w:val="593"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0.067 (0.052, 0.083)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-0.113 (-0.122, -0.104)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 (-0.416, -0.384)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0.092 (0.081, 0.102)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0.383 (0.368, 0.398)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-0.122 (-0.129, -0.115)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-0.658 (-0.674, -0.643)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0.127 (0.117, 0.138)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-0.202 (-0.217, -0.187)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-0.075 (-0.083, -0.066)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-0.627 (-0.647, -0.605)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-0.095 (-0.111,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-0.056 (-0.072, -0.041)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-0.106 (-0.119, -0.092)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(-0.073, -0.045)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0.043 (0.028, 0.058)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-0.033 (-0.048, -0.019)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-0.023 (-0.038, -0.008)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-0.013 (-0.029, 0.003)</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-0.094 (-0.115, -0.073)</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-0.048 (-0.062, -0.034)</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0.096 (0.072, 0.119)</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-0.059 (-0.074, -0.044)</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-0.008 (-0.028, 0.012)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-0.001 (-0.016, 0.014)</w:t>
            </w:r>
          </w:p>
        </w:tc>
      </w:tr>
      <w:tr>
        <w:trPr>
          <w:cantSplit/>
          <w:trHeight w:val="432" w:hRule="exact"/>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0.047 (0.026, 0.069)</w:t>
            </w:r>
          </w:p>
        </w:tc>
      </w:tr>
    </w:tbl>
    <w:p>
      <w:pPr>
        <w:pStyle w:val="Heading3"/>
      </w:pPr>
      <w:bookmarkStart w:id="42" w:name="Xdeead5b4ca2b7f0a66c05b39cf21418fa4c21d6"/>
      <w:r>
        <w:t xml:space="preserve">Effect of predator and prey behaviour on hunting success: Quadratic relationships</w:t>
      </w:r>
      <w:bookmarkEnd w:id="42"/>
    </w:p>
    <w:p>
      <w:pPr>
        <w:pStyle w:val="FirstParagraph"/>
      </w:pPr>
      <w:r>
        <w:t xml:space="preserve">Relative to the first model, the model that included quadratic and interaction terms for predator behaviour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behavioural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(euqation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5969000" cy="3316111"/>
            <wp:effectExtent b="0" l="0" r="0" t="0"/>
            <wp:docPr descr="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3"/>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t xml:space="preserve">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(A), (B), (C), (D) Linear functions. (E), (F), (G), (H) Quadratic functions.</w:t>
      </w:r>
    </w:p>
    <w:p>
      <w:pPr>
        <w:pStyle w:val="Heading3"/>
      </w:pPr>
      <w:bookmarkStart w:id="44" w:name="X964173f7840d0586045d732e1cde9e3a258c823"/>
      <w:r>
        <w:t xml:space="preserve">Effect of predator and prey behaviour on hunting success: predator and prey behavioural interaction</w:t>
      </w:r>
      <w:bookmarkEnd w:id="44"/>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5969000" cy="3685757"/>
            <wp:effectExtent b="0" l="0" r="0" t="0"/>
            <wp:docPr descr="Inf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5"/>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t xml:space="preserve">Influence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Heading1"/>
      </w:pPr>
      <w:bookmarkStart w:id="46" w:name="discussion"/>
      <w:r>
        <w:t xml:space="preserve">Discussion</w:t>
      </w:r>
      <w:bookmarkEnd w:id="46"/>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adopt the predator role display individual specialization and flexibility in competing foraging modes (cursorial vs sit-and-wait). The expression of these foraging modes was consistent with shifts in the expression of other behaviours such as space use and the latency to first prey capture, matching the predictions of the foraging syndrome hypothesis at the individual level. Contrary to our expectations, neither hunting behaviour nor prey capture varied among the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Globally, the most successful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approximately average population speed values.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Unpublished results by Santostefano et al. found four prey behavioural profiles in</w:t>
      </w:r>
      <w:r>
        <w:t xml:space="preserve"> </w:t>
      </w:r>
      <w:r>
        <w:rPr>
          <w:i/>
        </w:rPr>
        <w:t xml:space="preserve">DBD</w:t>
      </w:r>
      <w:r>
        <w:t xml:space="preserve">, where faster and more exploratory individuals seem distinct from bolder individuals that perform more cooperative/altruistic actions with conspecifics, and that are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the latency before a first capture, suggesting that predators may adjust their behaviour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behavioural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behaviour,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habitat changes, as some could have increased activity in heterogeneous habitats by exploiting refuges, thus, negating the effect of the environment on the predator’s hunting strategy</w:t>
      </w:r>
      <w:r>
        <w:t xml:space="preserve"> </w:t>
      </w:r>
      <w:r>
        <w:t xml:space="preserve">(Savino and Stein 1989; Warfe and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 et al. 2005)</w:t>
      </w:r>
      <w:r>
        <w:t xml:space="preserve">. We will need to investigate kill sites in the environment to see if these habitat scale-dependent effects on hunting behaviour occur in</w:t>
      </w:r>
      <w:r>
        <w:t xml:space="preserve"> </w:t>
      </w:r>
      <w:r>
        <w:rPr>
          <w:i/>
        </w:rPr>
        <w:t xml:space="preserve">DBD</w:t>
      </w:r>
      <w:r>
        <w:t xml:space="preserve">. Taken together, our observations emphasize the importance of quantifying the interactions between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Although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real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foraging behaviour using an online videogame, we showed that individuals differed in contrasting hunting strategies that align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are confident that further studies using online videogames will provide valuable ecological insight for behavioural and community ecologists.</w:t>
      </w:r>
    </w:p>
    <w:p>
      <w:r>
        <w:br w:type="page"/>
      </w:r>
    </w:p>
    <w:p>
      <w:pPr>
        <w:pStyle w:val="Heading1"/>
      </w:pPr>
      <w:bookmarkStart w:id="47" w:name="acknowledgements"/>
      <w:r>
        <w:t xml:space="preserve">Acknowledgements:</w:t>
      </w:r>
      <w:bookmarkEnd w:id="47"/>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Lastly, we thank two anonymous reviewers whose comments helped us improve this manuscript.</w:t>
      </w:r>
    </w:p>
    <w:p>
      <w:pPr>
        <w:pStyle w:val="Heading1"/>
      </w:pPr>
      <w:bookmarkStart w:id="48" w:name="author-contributions"/>
      <w:r>
        <w:t xml:space="preserve">Author contributions:</w:t>
      </w:r>
      <w:bookmarkEnd w:id="48"/>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49" w:name="competing-interests"/>
      <w:r>
        <w:t xml:space="preserve">Competing interests:</w:t>
      </w:r>
      <w:bookmarkEnd w:id="49"/>
    </w:p>
    <w:p>
      <w:pPr>
        <w:pStyle w:val="FirstParagraph"/>
      </w:pPr>
      <w:r>
        <w:t xml:space="preserve">The authors declare no competing interests</w:t>
      </w:r>
    </w:p>
    <w:p>
      <w:pPr>
        <w:pStyle w:val="Heading1"/>
      </w:pPr>
      <w:bookmarkStart w:id="50" w:name="grant-information"/>
      <w:r>
        <w:t xml:space="preserve">Grant information:</w:t>
      </w:r>
      <w:bookmarkEnd w:id="50"/>
    </w:p>
    <w:p>
      <w:pPr>
        <w:pStyle w:val="FirstParagraph"/>
      </w:pPr>
      <w:r>
        <w:t xml:space="preserve">This project was funded by the Mitacs Accelerate Grant (#IT12054) through a partnership with Behaviour Interactive and Université du Québec à Montréal.</w:t>
      </w:r>
    </w:p>
    <w:p>
      <w:pPr>
        <w:pStyle w:val="Heading1"/>
      </w:pPr>
      <w:bookmarkStart w:id="51" w:name="data-availability-statement"/>
      <w:r>
        <w:t xml:space="preserve">Data availability statement:</w:t>
      </w:r>
      <w:bookmarkEnd w:id="51"/>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4">
        <w:r>
          <w:rPr>
            <w:rStyle w:val="Hyperlink"/>
          </w:rPr>
          <w:t xml:space="preserve">https://github.com/quantitative-ecologist/videogame_hunting_tactics-Rscripts</w:t>
        </w:r>
      </w:hyperlink>
      <w:r>
        <w:t xml:space="preserve">.</w:t>
      </w:r>
    </w:p>
    <w:p>
      <w:pPr>
        <w:pStyle w:val="Heading1"/>
      </w:pPr>
      <w:bookmarkStart w:id="52" w:name="references"/>
      <w:r>
        <w:t xml:space="preserve">References</w:t>
      </w:r>
      <w:bookmarkEnd w:id="52"/>
    </w:p>
    <w:bookmarkStart w:id="126" w:name="refs"/>
    <w:bookmarkStart w:id="53"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3"/>
    <w:bookmarkStart w:id="54" w:name="ref-araujoEcologicalCausesIndividual2011"/>
    <w:p>
      <w:pPr>
        <w:pStyle w:val="Bibliography"/>
      </w:pPr>
      <w:r>
        <w:t xml:space="preserve">Araújo, M. S., D. I. Bolnick, and C. A. Layman. 2011. The ecological causes of individual specialisation. Ecology Letters 14:948–958.</w:t>
      </w:r>
    </w:p>
    <w:bookmarkEnd w:id="54"/>
    <w:bookmarkStart w:id="55"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5"/>
    <w:bookmarkStart w:id="56" w:name="X96c4258e86bc4bebaf88d0c2138881d5bccd865"/>
    <w:p>
      <w:pPr>
        <w:pStyle w:val="Bibliography"/>
      </w:pPr>
      <w:r>
        <w:t xml:space="preserve">Balicer, R. D. 2007. Modeling Infectious Diseases Dissemination Through Online Role-Playing Games. Epidemiology 18:260–261.</w:t>
      </w:r>
    </w:p>
    <w:bookmarkEnd w:id="56"/>
    <w:bookmarkStart w:id="57" w:name="ref-Barbe.etal2020"/>
    <w:p>
      <w:pPr>
        <w:pStyle w:val="Bibliography"/>
      </w:pPr>
      <w:r>
        <w:t xml:space="preserve">Barbe, L., C. Mony, and B. W. Abbott. 2020. Artificial Intelligence Accidentally Learned Ecology through Video Games. Trends in Ecology &amp; Evolution 35:557–560.</w:t>
      </w:r>
    </w:p>
    <w:bookmarkEnd w:id="57"/>
    <w:bookmarkStart w:id="58"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8"/>
    <w:bookmarkStart w:id="59"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9"/>
    <w:bookmarkStart w:id="60" w:name="X49f4575a21e91988218304a8e769c7dc0c7467a"/>
    <w:p>
      <w:pPr>
        <w:pStyle w:val="Bibliography"/>
      </w:pPr>
      <w:r>
        <w:t xml:space="preserve">Brodie, E. D., A. J. Moore, and F. J. Janzen. 1995. Visualizing and quantifying natural selection. Trends in Ecology &amp; Evolution 10:313–318.</w:t>
      </w:r>
    </w:p>
    <w:bookmarkEnd w:id="60"/>
    <w:bookmarkStart w:id="61"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61"/>
    <w:bookmarkStart w:id="62" w:name="ref-burknerBrmsPackageBayesian2017"/>
    <w:p>
      <w:pPr>
        <w:pStyle w:val="Bibliography"/>
      </w:pPr>
      <w:r>
        <w:t xml:space="preserve">Bürkner, P.-C. 2017. Brms: An R Package for Bayesian Multilevel Models Using Stan. Journal of Statistical Software 80:1–28.</w:t>
      </w:r>
    </w:p>
    <w:bookmarkEnd w:id="62"/>
    <w:bookmarkStart w:id="63"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3"/>
    <w:bookmarkStart w:id="64" w:name="ref-Carter.etal2013"/>
    <w:p>
      <w:pPr>
        <w:pStyle w:val="Bibliography"/>
      </w:pPr>
      <w:r>
        <w:t xml:space="preserve">Carter, A. J., W. E. Feeney, H. H. Marshall, G. Cowlishaw, and R. Heinsohn. 2013. Animal personality: What are behavioural ecologists measuring? Biological Reviews 88:465–475.</w:t>
      </w:r>
    </w:p>
    <w:bookmarkEnd w:id="64"/>
    <w:bookmarkStart w:id="65"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5"/>
    <w:bookmarkStart w:id="66" w:name="ref-cooperForagingModeControversy2005"/>
    <w:p>
      <w:pPr>
        <w:pStyle w:val="Bibliography"/>
      </w:pPr>
      <w:r>
        <w:t xml:space="preserve">Cooper, W. E. 2005. The foraging mode controversy: Both continuous variation and clustering of foraging movements occur. Journal of Zoology 267:179–190.</w:t>
      </w:r>
    </w:p>
    <w:bookmarkEnd w:id="66"/>
    <w:bookmarkStart w:id="67"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7"/>
    <w:bookmarkStart w:id="68" w:name="ref-Dall.Griffith2014"/>
    <w:p>
      <w:pPr>
        <w:pStyle w:val="Bibliography"/>
      </w:pPr>
      <w:r>
        <w:t xml:space="preserve">Dall, S. R. X., and S. C. Griffith. 2014. An empiricist guide to animal personality variation in ecology and evolution. Front. Ecol. Evol. 2:3.</w:t>
      </w:r>
    </w:p>
    <w:bookmarkEnd w:id="68"/>
    <w:bookmarkStart w:id="69"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9"/>
    <w:bookmarkStart w:id="70" w:name="Xcd361b28d7f9d777c9d9c3e3b1047b3ad4aeea7"/>
    <w:p>
      <w:pPr>
        <w:pStyle w:val="Bibliography"/>
      </w:pPr>
      <w:r>
        <w:t xml:space="preserve">Dingemanse, N. J., and J. Wright. 2020. Criteria for acceptable studies of animal personality and behavioural syndromes. Ethology 126:865–869.</w:t>
      </w:r>
    </w:p>
    <w:bookmarkEnd w:id="70"/>
    <w:bookmarkStart w:id="71" w:name="ref-donihueAegeanWallLizards2016"/>
    <w:p>
      <w:pPr>
        <w:pStyle w:val="Bibliography"/>
      </w:pPr>
      <w:r>
        <w:t xml:space="preserve">Donihue, C. M. 2016. Aegean wall lizards switch foraging modes, diet, and morphology in a human-built environment. Ecology and Evolution 6:7433–7442.</w:t>
      </w:r>
    </w:p>
    <w:bookmarkEnd w:id="71"/>
    <w:bookmarkStart w:id="72"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2"/>
    <w:bookmarkStart w:id="73"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3"/>
    <w:bookmarkStart w:id="74"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4"/>
    <w:bookmarkStart w:id="75" w:name="ref-griffenRoleIndividualBehavior2012"/>
    <w:p>
      <w:pPr>
        <w:pStyle w:val="Bibliography"/>
      </w:pPr>
      <w:r>
        <w:t xml:space="preserve">Griffen, B. D., B. J. Toscano, and J. Gatto. 2012. The role of individual behavior type in mediating indirect interactions. Ecology 93:1935–1943.</w:t>
      </w:r>
    </w:p>
    <w:bookmarkEnd w:id="75"/>
    <w:bookmarkStart w:id="76"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6"/>
    <w:bookmarkStart w:id="77"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7"/>
    <w:bookmarkStart w:id="78"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8"/>
    <w:bookmarkStart w:id="79"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9"/>
    <w:bookmarkStart w:id="80"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80"/>
    <w:bookmarkStart w:id="81"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81"/>
    <w:bookmarkStart w:id="82" w:name="X630f9aa43fa28b4f8766d5db16c7c009d6eaa03"/>
    <w:p>
      <w:pPr>
        <w:pStyle w:val="Bibliography"/>
      </w:pPr>
      <w:r>
        <w:t xml:space="preserve">Huey, R. B., and E. R. Pianka. 1981. Ecological consequences of foraging mode. Ecology 62:991–999.</w:t>
      </w:r>
    </w:p>
    <w:bookmarkEnd w:id="82"/>
    <w:bookmarkStart w:id="83"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3"/>
    <w:bookmarkStart w:id="84"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4"/>
    <w:bookmarkStart w:id="85"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5"/>
    <w:bookmarkStart w:id="86"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6"/>
    <w:bookmarkStart w:id="87"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7"/>
    <w:bookmarkStart w:id="88" w:name="ref-limaPuttingPredatorsBack2002"/>
    <w:p>
      <w:pPr>
        <w:pStyle w:val="Bibliography"/>
      </w:pPr>
      <w:r>
        <w:t xml:space="preserve">Lima, S. L. 2002. Putting predators back into behavioral predator–prey interactions. Trends in Ecology &amp; Evolution 17:70–75.</w:t>
      </w:r>
    </w:p>
    <w:bookmarkEnd w:id="88"/>
    <w:bookmarkStart w:id="89"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9"/>
    <w:bookmarkStart w:id="90"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90"/>
    <w:bookmarkStart w:id="91"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1"/>
    <w:bookmarkStart w:id="92" w:name="ref-mclaughlinSearchModesBirds1989"/>
    <w:p>
      <w:pPr>
        <w:pStyle w:val="Bibliography"/>
      </w:pPr>
      <w:r>
        <w:t xml:space="preserve">McLaughlin, R. L. 1989. Search modes of birds and lizards: Evidence for alternative movement patterns. The American Naturalist 133:654–670.</w:t>
      </w:r>
    </w:p>
    <w:bookmarkEnd w:id="92"/>
    <w:bookmarkStart w:id="93" w:name="Xee171ba6d7923118023addb2d6d091d98c59b88"/>
    <w:p>
      <w:pPr>
        <w:pStyle w:val="Bibliography"/>
      </w:pPr>
      <w:r>
        <w:t xml:space="preserve">Michel, M. J., and M. M. Adams. 2009. Differential effects of structural complexity on predator foraging behavior. Behavioral Ecology 20:313–317.</w:t>
      </w:r>
    </w:p>
    <w:bookmarkEnd w:id="93"/>
    <w:bookmarkStart w:id="94"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4"/>
    <w:bookmarkStart w:id="95"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5"/>
    <w:bookmarkStart w:id="96" w:name="ref-Montiglio.etal2010"/>
    <w:p>
      <w:pPr>
        <w:pStyle w:val="Bibliography"/>
      </w:pPr>
      <w:r>
        <w:t xml:space="preserve">Montiglio, P.-O., D. Garant, D. Thomas, and D. Réale. 2010. Individual variation in temporal activity patterns in open-field tests. Animal Behaviour 80:905–912.</w:t>
      </w:r>
    </w:p>
    <w:bookmarkEnd w:id="96"/>
    <w:bookmarkStart w:id="97" w:name="ref-Moran.etal2017"/>
    <w:p>
      <w:pPr>
        <w:pStyle w:val="Bibliography"/>
      </w:pPr>
      <w:r>
        <w:t xml:space="preserve">Moran, N. P., B. B. M. Wong, and R. M. Thompson. 2017. Weaving animal temperament into food webs: Implications for biodiversity. Oikos 126:917–930.</w:t>
      </w:r>
    </w:p>
    <w:bookmarkEnd w:id="97"/>
    <w:bookmarkStart w:id="98" w:name="ref-Nakagawa.Cuthill2007"/>
    <w:p>
      <w:pPr>
        <w:pStyle w:val="Bibliography"/>
      </w:pPr>
      <w:r>
        <w:t xml:space="preserve">Nakagawa, S., and I. C. Cuthill. 2007. Effect size, confidence interval and statistical significance: A practical guide for biologists. Biological Reviews 82:591–605.</w:t>
      </w:r>
    </w:p>
    <w:bookmarkEnd w:id="98"/>
    <w:bookmarkStart w:id="99"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9"/>
    <w:bookmarkStart w:id="100" w:name="X5d57dfca6126fba501bec5665a39c5d4f069cbd"/>
    <w:p>
      <w:pPr>
        <w:pStyle w:val="Bibliography"/>
      </w:pPr>
      <w:r>
        <w:t xml:space="preserve">Nakagawa, S., and H. Schielzeth. 2010. Repeatability for Gaussian and non-Gaussian data: A practical guide for biologists. Biological Reviews 85:935–956.</w:t>
      </w:r>
    </w:p>
    <w:bookmarkEnd w:id="100"/>
    <w:bookmarkStart w:id="101" w:name="ref-Niemela.Dingemanse2014"/>
    <w:p>
      <w:pPr>
        <w:pStyle w:val="Bibliography"/>
      </w:pPr>
      <w:r>
        <w:t xml:space="preserve">Niemelä, P. T., and N. J. Dingemanse. 2014. Artificial environments and the study of “adaptive” personalities. Trends in Ecology &amp; Evolution 29:245–247.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2"/>
    <w:bookmarkStart w:id="103" w:name="ref-perryEvolutionSearchModes1999"/>
    <w:p>
      <w:pPr>
        <w:pStyle w:val="Bibliography"/>
      </w:pPr>
      <w:r>
        <w:t xml:space="preserve">Perry, G. 1999. The evolution of search modes: Ecological versus phylogenetic perspectives. The American Naturalist 153:98–109.</w:t>
      </w:r>
    </w:p>
    <w:bookmarkEnd w:id="103"/>
    <w:bookmarkStart w:id="104"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4"/>
    <w:bookmarkStart w:id="105"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5"/>
    <w:bookmarkStart w:id="106"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6"/>
    <w:bookmarkStart w:id="107"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7"/>
    <w:bookmarkStart w:id="108"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8"/>
    <w:bookmarkStart w:id="109" w:name="ref-romeroContrastingCascadeEffects2011"/>
    <w:p>
      <w:pPr>
        <w:pStyle w:val="Bibliography"/>
      </w:pPr>
      <w:r>
        <w:t xml:space="preserve">Romero, G. Q., and J. Koricheva. 2011. Contrasting cascade effects of carnivores on plant fitness: A meta-analysis. Journal of Animal Ecology 80:696–704.</w:t>
      </w:r>
    </w:p>
    <w:bookmarkEnd w:id="109"/>
    <w:bookmarkStart w:id="110"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10"/>
    <w:bookmarkStart w:id="111"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11"/>
    <w:bookmarkStart w:id="112" w:name="ref-Savino.Stein1989"/>
    <w:p>
      <w:pPr>
        <w:pStyle w:val="Bibliography"/>
      </w:pPr>
      <w:r>
        <w:t xml:space="preserve">Savino, J. F., and R. A. Stein. 1989. Behavioural interactions between fish predators and their prey: Effects of plant density. Animal Behaviour 37:311–321.</w:t>
      </w:r>
    </w:p>
    <w:bookmarkEnd w:id="112"/>
    <w:bookmarkStart w:id="113"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3"/>
    <w:bookmarkStart w:id="114" w:name="ref-schmitzPredatorPreyFunctional2017"/>
    <w:p>
      <w:pPr>
        <w:pStyle w:val="Bibliography"/>
      </w:pPr>
      <w:r>
        <w:t xml:space="preserve">Schmitz, O. 2017. Predator and prey functional traits: Understanding the adaptive machinery driving predator–prey interactions. F1000Res 6:1767.</w:t>
      </w:r>
    </w:p>
    <w:bookmarkEnd w:id="114"/>
    <w:bookmarkStart w:id="115" w:name="ref-schmitzEffectsPredatorHunting2008"/>
    <w:p>
      <w:pPr>
        <w:pStyle w:val="Bibliography"/>
      </w:pPr>
      <w:r>
        <w:t xml:space="preserve">Schmitz, O. J. 2008. Effects of predator hunting mode on grassland ecosystem function. Science 319:952–954.</w:t>
      </w:r>
    </w:p>
    <w:bookmarkEnd w:id="115"/>
    <w:bookmarkStart w:id="116" w:name="ref-Smith.Blumstein2010"/>
    <w:p>
      <w:pPr>
        <w:pStyle w:val="Bibliography"/>
      </w:pPr>
      <w:r>
        <w:t xml:space="preserve">Smith, B. R., and D. T. Blumstein. 2010. Behavioral types as predictors of survival in Trinidadian guppies (Poecilia reticulata). Behavioral Ecology 21:919–926.</w:t>
      </w:r>
    </w:p>
    <w:bookmarkEnd w:id="116"/>
    <w:bookmarkStart w:id="117" w:name="ref-tinkerFoodLimitationLeads2008"/>
    <w:p>
      <w:pPr>
        <w:pStyle w:val="Bibliography"/>
      </w:pPr>
      <w:r>
        <w:t xml:space="preserve">Tinker, M. T., G. Bentall, and J. A. Estes. 2008. Food limitation leads to behavioral diversification and dietary specialization in sea otters. PNAS 105:560–565.</w:t>
      </w:r>
    </w:p>
    <w:bookmarkEnd w:id="117"/>
    <w:bookmarkStart w:id="118"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8"/>
    <w:bookmarkStart w:id="119"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9"/>
    <w:bookmarkStart w:id="120" w:name="ref-Warfe.Barmuta2004"/>
    <w:p>
      <w:pPr>
        <w:pStyle w:val="Bibliography"/>
      </w:pPr>
      <w:r>
        <w:t xml:space="preserve">Warfe, D. M., and L. A. Barmuta. 2004. Habitat structural complexity mediates the foraging success of multiple predator species. Oecologia 141:171–178.</w:t>
      </w:r>
    </w:p>
    <w:bookmarkEnd w:id="120"/>
    <w:bookmarkStart w:id="121"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21"/>
    <w:bookmarkStart w:id="122" w:name="X08c79baa18815f94bac099087cab6c4152edd9e"/>
    <w:p>
      <w:pPr>
        <w:pStyle w:val="Bibliography"/>
      </w:pPr>
      <w:r>
        <w:t xml:space="preserve">Wignall, A. E., and P. W. Taylor. 2008. Alternative predatory tactics of an araneophagic assassin bug (Stenolemus bituberus). acta ethol 12:23.</w:t>
      </w:r>
    </w:p>
    <w:bookmarkEnd w:id="122"/>
    <w:bookmarkStart w:id="123" w:name="ref-Wirsing.etal2021"/>
    <w:p>
      <w:pPr>
        <w:pStyle w:val="Bibliography"/>
      </w:pPr>
      <w:r>
        <w:t xml:space="preserve">Wirsing, A. J., M. R. Heithaus, J. S. Brown, B. P. Kotler, and O. J. Schmitz. 2021. The context dependence of non-consumptive predator effects. Ecology Letters 24:113–129.</w:t>
      </w:r>
    </w:p>
    <w:bookmarkEnd w:id="123"/>
    <w:bookmarkStart w:id="124" w:name="X89cbf97abb5d246fb23142725c80f283ab643dd"/>
    <w:p>
      <w:pPr>
        <w:pStyle w:val="Bibliography"/>
      </w:pPr>
      <w:r>
        <w:t xml:space="preserve">Wolf, M., and F. J. Weissing. 2012. Animal personalities: Consequences for ecology and evolution. Trends in Ecology &amp; Evolution 27:452–461.</w:t>
      </w:r>
    </w:p>
    <w:bookmarkEnd w:id="124"/>
    <w:bookmarkStart w:id="125"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5"/>
    <w:bookmarkEnd w:id="126"/>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3" Target="https://docs.computecanada.ca/wiki/Cedar" TargetMode="External" /><Relationship Type="http://schemas.openxmlformats.org/officeDocument/2006/relationships/hyperlink" Id="rId34"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3" Target="https://docs.computecanada.ca/wiki/Cedar" TargetMode="External" /><Relationship Type="http://schemas.openxmlformats.org/officeDocument/2006/relationships/hyperlink" Id="rId34"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2021-06-05T21:04:48Z</dcterms:created>
  <dcterms:modified xsi:type="dcterms:W3CDTF">2021-06-05T21:04:48Z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